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E59D3" w14:textId="77777777" w:rsidR="00625B8C" w:rsidRDefault="00625B8C"/>
    <w:p w14:paraId="6B70AE5F" w14:textId="77777777" w:rsidR="0035160D" w:rsidRDefault="0035160D"/>
    <w:p w14:paraId="23C3EE4F" w14:textId="761AFDE7" w:rsidR="00F06FCA" w:rsidRDefault="000A5341" w:rsidP="00F06FCA">
      <w:pPr>
        <w:pStyle w:val="NormalWeb"/>
        <w:rPr>
          <w:color w:val="000000"/>
        </w:rPr>
      </w:pPr>
      <w:r>
        <w:rPr>
          <w:color w:val="000000"/>
        </w:rPr>
        <w:t xml:space="preserve">ASIR SAVUNMA A.Ş </w:t>
      </w:r>
      <w:r w:rsidR="00F06FCA">
        <w:rPr>
          <w:color w:val="000000"/>
        </w:rPr>
        <w:t>olarak; havacılık, uzay ve savunma sanayine yönelik boya ürünlerinin tasarım, üretim ve teslimat süreçlerinde</w:t>
      </w:r>
      <w:r w:rsidR="00F06FCA">
        <w:rPr>
          <w:rStyle w:val="apple-converted-space"/>
          <w:rFonts w:eastAsiaTheme="majorEastAsia"/>
          <w:color w:val="000000"/>
        </w:rPr>
        <w:t> </w:t>
      </w:r>
      <w:r w:rsidR="00F06FCA">
        <w:rPr>
          <w:rStyle w:val="Gl"/>
          <w:rFonts w:eastAsiaTheme="majorEastAsia"/>
          <w:color w:val="000000"/>
        </w:rPr>
        <w:t>çevrenin korunmasını</w:t>
      </w:r>
      <w:r w:rsidR="00F06FCA">
        <w:rPr>
          <w:color w:val="000000"/>
        </w:rPr>
        <w:t>,</w:t>
      </w:r>
      <w:r w:rsidR="00F06FCA">
        <w:rPr>
          <w:rStyle w:val="apple-converted-space"/>
          <w:rFonts w:eastAsiaTheme="majorEastAsia"/>
          <w:color w:val="000000"/>
        </w:rPr>
        <w:t> </w:t>
      </w:r>
      <w:r w:rsidR="00F06FCA">
        <w:rPr>
          <w:rStyle w:val="Gl"/>
          <w:rFonts w:eastAsiaTheme="majorEastAsia"/>
          <w:color w:val="000000"/>
        </w:rPr>
        <w:t>yasal uyumu</w:t>
      </w:r>
      <w:r w:rsidR="00F06FCA">
        <w:rPr>
          <w:rStyle w:val="apple-converted-space"/>
          <w:rFonts w:eastAsiaTheme="majorEastAsia"/>
          <w:color w:val="000000"/>
        </w:rPr>
        <w:t> </w:t>
      </w:r>
      <w:r w:rsidR="00F06FCA">
        <w:rPr>
          <w:color w:val="000000"/>
        </w:rPr>
        <w:t>ve</w:t>
      </w:r>
      <w:r w:rsidR="00F06FCA">
        <w:rPr>
          <w:rStyle w:val="apple-converted-space"/>
          <w:rFonts w:eastAsiaTheme="majorEastAsia"/>
          <w:color w:val="000000"/>
        </w:rPr>
        <w:t> </w:t>
      </w:r>
      <w:r w:rsidR="00F06FCA">
        <w:rPr>
          <w:rStyle w:val="Gl"/>
          <w:rFonts w:eastAsiaTheme="majorEastAsia"/>
          <w:color w:val="000000"/>
        </w:rPr>
        <w:t>sürdürülebilirliği</w:t>
      </w:r>
      <w:r w:rsidR="00F06FCA">
        <w:rPr>
          <w:color w:val="000000"/>
        </w:rPr>
        <w:t>, kurumsal</w:t>
      </w:r>
      <w:r w:rsidR="00F06FCA">
        <w:rPr>
          <w:rStyle w:val="apple-converted-space"/>
          <w:rFonts w:eastAsiaTheme="majorEastAsia"/>
          <w:color w:val="000000"/>
        </w:rPr>
        <w:t> </w:t>
      </w:r>
      <w:r w:rsidR="00F06FCA">
        <w:rPr>
          <w:rStyle w:val="Gl"/>
          <w:rFonts w:eastAsiaTheme="majorEastAsia"/>
          <w:color w:val="000000"/>
        </w:rPr>
        <w:t>stratejik yönetimin temel unsurlarından biri</w:t>
      </w:r>
      <w:r w:rsidR="00F06FCA">
        <w:rPr>
          <w:rStyle w:val="apple-converted-space"/>
          <w:rFonts w:eastAsiaTheme="majorEastAsia"/>
          <w:color w:val="000000"/>
        </w:rPr>
        <w:t> </w:t>
      </w:r>
      <w:r w:rsidR="00F06FCA">
        <w:rPr>
          <w:color w:val="000000"/>
        </w:rPr>
        <w:t>olarak kabul ederiz.</w:t>
      </w:r>
    </w:p>
    <w:p w14:paraId="2E9A0665" w14:textId="77777777" w:rsidR="00F06FCA" w:rsidRDefault="00F06FCA" w:rsidP="00F06FCA">
      <w:pPr>
        <w:pStyle w:val="NormalWeb"/>
        <w:rPr>
          <w:color w:val="000000"/>
        </w:rPr>
      </w:pPr>
      <w:r>
        <w:rPr>
          <w:color w:val="000000"/>
        </w:rPr>
        <w:t>Bu doğrultuda;</w:t>
      </w:r>
    </w:p>
    <w:p w14:paraId="65F42549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Çevre yönetim sistemimizi; şirketin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stratejik hedefleri, operasyonel sürekliliği ve zamanında teslimat performansını destekleyecek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şekilde planlamayı ve uygulamayı,</w:t>
      </w:r>
    </w:p>
    <w:p w14:paraId="62473E21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Faaliyetlerimizden kaynaklanan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çevresel boyutları ve etkileri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belirleyerek; risk temelli yaklaşımla kontrol altına almayı ve çevresel riskleri azaltmayı,</w:t>
      </w:r>
    </w:p>
    <w:p w14:paraId="6227654F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Gl"/>
          <w:rFonts w:eastAsiaTheme="majorEastAsia"/>
          <w:color w:val="000000"/>
        </w:rPr>
        <w:t>Çevre ile ilgili tüm yasal ve diğer yükümlülüklere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(kimyasal yönetimi, atık, emisyon, tehlikeli maddeler vb.) eksiksiz uyum sağlamayı,</w:t>
      </w:r>
    </w:p>
    <w:p w14:paraId="1C666211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Gl"/>
          <w:rFonts w:eastAsiaTheme="majorEastAsia"/>
          <w:color w:val="000000"/>
        </w:rPr>
        <w:t>Hammadde, enerji, su ve doğal kaynakları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verimli kullanarak; atık oluşumunu, emisyonları ve çevresel ayak izimizi azaltmayı,</w:t>
      </w:r>
    </w:p>
    <w:p w14:paraId="1ECCDBE7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Kimyasal maddelerin kullanımı ve depolanmasında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ürün güvenliği, çalışan sağlığı ve çevre koruma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ilkelerini birlikte gözetmeyi,</w:t>
      </w:r>
    </w:p>
    <w:p w14:paraId="341CE976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Çevresel performansı etkileyebilecek riskleri;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üretim sürekliliği ve zamanında teslimat hedefleriyle uyumlu</w:t>
      </w:r>
      <w:r>
        <w:rPr>
          <w:color w:val="000000"/>
        </w:rPr>
        <w:t>şekilde yönetmeyi,</w:t>
      </w:r>
    </w:p>
    <w:p w14:paraId="543524B7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Çalışanların çevre bilincini artırmayı, çevre sorumluluğunu teşvik etmeyi ve yetkinliklerini geliştirmeyi,</w:t>
      </w:r>
    </w:p>
    <w:p w14:paraId="15CE59F3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Tedarikçilerimizden ve iş ortaklarımızdan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çevreye duyarlı, yasalara uygun ve sürdürülebilir uygulamalar</w:t>
      </w:r>
      <w:r>
        <w:rPr>
          <w:color w:val="000000"/>
        </w:rPr>
        <w:t>beklemeyi,</w:t>
      </w:r>
    </w:p>
    <w:p w14:paraId="285D6E1C" w14:textId="77777777" w:rsidR="00F06FCA" w:rsidRDefault="00F06FCA" w:rsidP="00F06FCA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Ölçme, izleme, iç denetim ve yönetimin gözden geçirilmesi faaliyetleri ile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Gl"/>
          <w:rFonts w:eastAsiaTheme="majorEastAsia"/>
          <w:color w:val="000000"/>
        </w:rPr>
        <w:t>çevresel performansı ve sürdürülebilirliği sürekli iyileştirmeyi</w:t>
      </w:r>
      <w:r>
        <w:rPr>
          <w:color w:val="000000"/>
        </w:rPr>
        <w:t>,</w:t>
      </w:r>
    </w:p>
    <w:p w14:paraId="2355EFCE" w14:textId="77777777" w:rsidR="00F06FCA" w:rsidRDefault="00F06FCA" w:rsidP="00F06FCA">
      <w:pPr>
        <w:pStyle w:val="NormalWeb"/>
        <w:rPr>
          <w:color w:val="000000"/>
        </w:rPr>
      </w:pPr>
      <w:r>
        <w:rPr>
          <w:color w:val="000000"/>
        </w:rPr>
        <w:t>taahhüt ederiz.</w:t>
      </w:r>
    </w:p>
    <w:p w14:paraId="32DD7E30" w14:textId="77777777" w:rsidR="00F06FCA" w:rsidRDefault="00F06FCA" w:rsidP="00F06FCA">
      <w:pPr>
        <w:pStyle w:val="NormalWeb"/>
        <w:rPr>
          <w:color w:val="000000"/>
        </w:rPr>
      </w:pPr>
      <w:r>
        <w:rPr>
          <w:color w:val="000000"/>
        </w:rPr>
        <w:t>Üst yönetim olarak; bu çevre politikasının şirket stratejisiyle bütünleşik şekilde uygulanmasını, tüm çalışanlar tarafından benimsenmesini ve etkinliğinin düzenli olarak gözden geçirilmesini güvence altına alırız.</w:t>
      </w:r>
    </w:p>
    <w:p w14:paraId="0C6E2868" w14:textId="763ED4CC" w:rsidR="0035160D" w:rsidRPr="0035160D" w:rsidRDefault="0035160D" w:rsidP="00F06FC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tr-TR"/>
        </w:rPr>
      </w:pPr>
    </w:p>
    <w:p w14:paraId="58D5F6D6" w14:textId="446388B2" w:rsidR="0035160D" w:rsidRDefault="0035160D" w:rsidP="0035160D">
      <w:pPr>
        <w:spacing w:before="100" w:beforeAutospacing="1" w:after="100" w:afterAutospacing="1"/>
        <w:jc w:val="right"/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Genel Müdür 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br/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FATİH YAZAR</w:t>
      </w:r>
    </w:p>
    <w:sectPr w:rsidR="003516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6EEF9" w14:textId="77777777" w:rsidR="00C00642" w:rsidRDefault="00C00642" w:rsidP="000A5341">
      <w:r>
        <w:separator/>
      </w:r>
    </w:p>
  </w:endnote>
  <w:endnote w:type="continuationSeparator" w:id="0">
    <w:p w14:paraId="70F2F0B2" w14:textId="77777777" w:rsidR="00C00642" w:rsidRDefault="00C00642" w:rsidP="000A5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B269E" w14:textId="77777777" w:rsidR="00C00642" w:rsidRDefault="00C00642" w:rsidP="000A5341">
      <w:r>
        <w:separator/>
      </w:r>
    </w:p>
  </w:footnote>
  <w:footnote w:type="continuationSeparator" w:id="0">
    <w:p w14:paraId="393EEA7E" w14:textId="77777777" w:rsidR="00C00642" w:rsidRDefault="00C00642" w:rsidP="000A5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10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268"/>
      <w:gridCol w:w="4962"/>
      <w:gridCol w:w="2126"/>
    </w:tblGrid>
    <w:tr w:rsidR="000A5341" w14:paraId="65C1E871" w14:textId="77777777" w:rsidTr="0045296A">
      <w:trPr>
        <w:trHeight w:val="20"/>
        <w:tblHeader/>
      </w:trPr>
      <w:tc>
        <w:tcPr>
          <w:tcW w:w="2268" w:type="dxa"/>
          <w:vMerge w:val="restart"/>
          <w:vAlign w:val="center"/>
        </w:tcPr>
        <w:p w14:paraId="4058C6E0" w14:textId="77777777" w:rsidR="000A5341" w:rsidRPr="005070EB" w:rsidRDefault="000A5341" w:rsidP="000A5341">
          <w:pPr>
            <w:pStyle w:val="a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A304EB">
            <w:rPr>
              <w:noProof/>
              <w:snapToGrid/>
            </w:rPr>
            <w:drawing>
              <wp:inline distT="0" distB="0" distL="0" distR="0" wp14:anchorId="6AE616DB" wp14:editId="63C62B5B">
                <wp:extent cx="1346200" cy="457200"/>
                <wp:effectExtent l="0" t="0" r="0" b="0"/>
                <wp:docPr id="1" name="Resim 1" descr="yazı tipi, logo, simge, sembol, beyaz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 descr="yazı tipi, logo, simge, sembol, beyaz içeren bir resim&#10;&#10;Yapay zeka tarafından oluşturulmuş içerik yanlış olabilir.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2" w:type="dxa"/>
          <w:vMerge w:val="restart"/>
          <w:vAlign w:val="center"/>
        </w:tcPr>
        <w:p w14:paraId="28D25219" w14:textId="569393A3" w:rsidR="000A5341" w:rsidRPr="000A5341" w:rsidRDefault="005E61A7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ÇEVRE</w:t>
          </w:r>
          <w:r w:rsidR="000A5341"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POLİTİKASI</w:t>
          </w:r>
        </w:p>
      </w:tc>
      <w:tc>
        <w:tcPr>
          <w:tcW w:w="2126" w:type="dxa"/>
          <w:vAlign w:val="center"/>
        </w:tcPr>
        <w:p w14:paraId="27A450F1" w14:textId="14AB61B8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D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ok. </w:t>
          </w:r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No: 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PLT.0</w:t>
          </w:r>
          <w:r w:rsidR="005E61A7">
            <w:rPr>
              <w:rFonts w:ascii="Calibri" w:hAnsi="Calibri" w:cs="Calibri"/>
              <w:b w:val="0"/>
              <w:sz w:val="18"/>
              <w:szCs w:val="28"/>
              <w:lang w:val="de-DE"/>
            </w:rPr>
            <w:t>2</w:t>
          </w:r>
        </w:p>
      </w:tc>
    </w:tr>
    <w:tr w:rsidR="000A5341" w14:paraId="11BA1FF2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AFF2E69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0AA4598D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5E0C1CCF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Yay. </w:t>
          </w:r>
          <w:r>
            <w:rPr>
              <w:rFonts w:ascii="Calibri" w:hAnsi="Calibri" w:cs="Calibri"/>
              <w:b w:val="0"/>
              <w:sz w:val="18"/>
            </w:rPr>
            <w:t>Tarih: 01.06.2025</w:t>
          </w:r>
        </w:p>
      </w:tc>
    </w:tr>
    <w:tr w:rsidR="000A5341" w14:paraId="03330FD1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2C684C3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38410139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30D8AB5E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>Rev.</w:t>
          </w:r>
          <w:r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Fonts w:ascii="Calibri" w:hAnsi="Calibri" w:cs="Calibri"/>
              <w:b w:val="0"/>
              <w:sz w:val="18"/>
            </w:rPr>
            <w:t xml:space="preserve">No : </w:t>
          </w:r>
          <w:r w:rsidRPr="0043236C">
            <w:rPr>
              <w:rFonts w:ascii="Calibri" w:hAnsi="Calibri" w:cs="Calibri"/>
              <w:b w:val="0"/>
              <w:color w:val="000000"/>
              <w:sz w:val="18"/>
            </w:rPr>
            <w:t>0</w:t>
          </w:r>
          <w:r>
            <w:rPr>
              <w:rFonts w:ascii="Calibri" w:hAnsi="Calibri" w:cs="Calibri"/>
              <w:b w:val="0"/>
              <w:color w:val="000000"/>
              <w:sz w:val="18"/>
            </w:rPr>
            <w:t>0</w:t>
          </w:r>
        </w:p>
      </w:tc>
    </w:tr>
    <w:tr w:rsidR="000A5341" w14:paraId="2A870F9B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8F2702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67C5A751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24B0B7C7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>Rev. Tarihi:</w:t>
          </w:r>
          <w:r>
            <w:rPr>
              <w:rFonts w:ascii="Calibri" w:hAnsi="Calibri" w:cs="Calibri"/>
              <w:b w:val="0"/>
              <w:sz w:val="18"/>
            </w:rPr>
            <w:t xml:space="preserve"> -</w:t>
          </w:r>
        </w:p>
      </w:tc>
    </w:tr>
    <w:tr w:rsidR="000A5341" w14:paraId="3D61C597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1A6E7DA2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1BD67EE7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0ECF2F9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Sayfa : 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 xml:space="preserve"> PAGE </w:t>
          </w:r>
          <w:r>
            <w:rPr>
              <w:rStyle w:val="SayfaNumaras"/>
              <w:rFonts w:ascii="Calibri" w:eastAsiaTheme="majorEastAsia" w:hAnsi="Calibri" w:cs="Calibri"/>
              <w:b w:val="0"/>
              <w:noProof/>
              <w:sz w:val="18"/>
            </w:rPr>
            <w:t>2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>/</w:t>
          </w:r>
        </w:p>
      </w:tc>
    </w:tr>
  </w:tbl>
  <w:p w14:paraId="59F4403E" w14:textId="77777777" w:rsidR="000A5341" w:rsidRPr="000A5341" w:rsidRDefault="000A5341" w:rsidP="000A534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97490"/>
    <w:multiLevelType w:val="multilevel"/>
    <w:tmpl w:val="0A24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906EFD"/>
    <w:multiLevelType w:val="multilevel"/>
    <w:tmpl w:val="4940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2091633">
    <w:abstractNumId w:val="1"/>
  </w:num>
  <w:num w:numId="2" w16cid:durableId="1129780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0D"/>
    <w:rsid w:val="000A5341"/>
    <w:rsid w:val="00281F1D"/>
    <w:rsid w:val="0035160D"/>
    <w:rsid w:val="003A3EF5"/>
    <w:rsid w:val="003C7969"/>
    <w:rsid w:val="00551521"/>
    <w:rsid w:val="005E61A7"/>
    <w:rsid w:val="00625B8C"/>
    <w:rsid w:val="006E46C5"/>
    <w:rsid w:val="00A002BA"/>
    <w:rsid w:val="00BA1EE2"/>
    <w:rsid w:val="00C00642"/>
    <w:rsid w:val="00C749D9"/>
    <w:rsid w:val="00F06FCA"/>
    <w:rsid w:val="00F4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53BEE"/>
  <w15:chartTrackingRefBased/>
  <w15:docId w15:val="{661DFF3B-4C81-1544-8C4B-7AE9F2AF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51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5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51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5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51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516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516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516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516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51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51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51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5160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5160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5160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5160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5160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5160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516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51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516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51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516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5160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5160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5160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51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5160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516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516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customStyle="1" w:styleId="apple-converted-space">
    <w:name w:val="apple-converted-space"/>
    <w:basedOn w:val="VarsaylanParagrafYazTipi"/>
    <w:rsid w:val="0035160D"/>
  </w:style>
  <w:style w:type="character" w:styleId="Gl">
    <w:name w:val="Strong"/>
    <w:basedOn w:val="VarsaylanParagrafYazTipi"/>
    <w:uiPriority w:val="22"/>
    <w:qFormat/>
    <w:rsid w:val="0035160D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A5341"/>
  </w:style>
  <w:style w:type="paragraph" w:styleId="AltBilgi">
    <w:name w:val="footer"/>
    <w:basedOn w:val="Normal"/>
    <w:link w:val="Al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A5341"/>
  </w:style>
  <w:style w:type="paragraph" w:customStyle="1" w:styleId="a">
    <w:basedOn w:val="Normal"/>
    <w:next w:val="stBilgi"/>
    <w:rsid w:val="000A5341"/>
    <w:pPr>
      <w:tabs>
        <w:tab w:val="center" w:pos="4153"/>
        <w:tab w:val="right" w:pos="8306"/>
      </w:tabs>
      <w:jc w:val="center"/>
    </w:pPr>
    <w:rPr>
      <w:rFonts w:ascii="Arial" w:eastAsia="Times New Roman" w:hAnsi="Arial" w:cs="Times New Roman"/>
      <w:b/>
      <w:snapToGrid w:val="0"/>
      <w:szCs w:val="20"/>
    </w:rPr>
  </w:style>
  <w:style w:type="character" w:styleId="SayfaNumaras">
    <w:name w:val="page number"/>
    <w:basedOn w:val="VarsaylanParagrafYazTipi"/>
    <w:rsid w:val="000A5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</Words>
  <Characters>1534</Characters>
  <Application>Microsoft Office Word</Application>
  <DocSecurity>0</DocSecurity>
  <Lines>33</Lines>
  <Paragraphs>14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Cemre Güldem</dc:creator>
  <cp:keywords/>
  <dc:description/>
  <cp:lastModifiedBy>Cemre Güldem</cp:lastModifiedBy>
  <cp:revision>5</cp:revision>
  <dcterms:created xsi:type="dcterms:W3CDTF">2025-12-24T07:33:00Z</dcterms:created>
  <dcterms:modified xsi:type="dcterms:W3CDTF">2025-12-24T07:39:00Z</dcterms:modified>
</cp:coreProperties>
</file>